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24 266 vom 22. Oktober 2025</w:t>
      </w:r>
    </w:p>
    <w:p>
      <w:r>
        <w:t>BL Gerichte, 2025-10-22, DE</w:t>
      </w:r>
    </w:p>
    <w:p>
      <w:r>
        <w:rPr>
          <w:b/>
        </w:rPr>
        <w:t xml:space="preserve">Quelle: </w:t>
      </w:r>
      <w:r>
        <w:t>https://mcp.opencaselaw.ch/entscheid/bl_gerichte_460 24 266</w:t>
      </w:r>
    </w:p>
    <w:p>
      <w:r>
        <w:t>FR: BL_GERICHTE 460 24 266 du 22 octobre 2025</w:t>
      </w:r>
    </w:p>
    <w:p>
      <w:r>
        <w:t>IT: BL_GERICHTE 460 24 266 del 22 ottobre 2025</w:t>
      </w:r>
    </w:p>
    <w:p>
      <w:pPr>
        <w:pStyle w:val="Heading2"/>
      </w:pPr>
      <w:r>
        <w:t>Regeste</w:t>
      </w:r>
    </w:p>
    <w:p>
      <w:r>
        <w:t>Strafzumessung</w:t>
      </w:r>
    </w:p>
    <w:p>
      <w:pPr>
        <w:pStyle w:val="Heading2"/>
      </w:pPr>
      <w:r>
        <w:t>Erwägungen</w:t>
      </w:r>
    </w:p>
    <w:p>
      <w:r>
        <w:rPr>
          <w:b/>
        </w:rPr>
        <w:t>E. 1</w:t>
      </w:r>
    </w:p>
    <w:p>
      <w:r>
        <w:t>Die Berufung ist zulässig gegen Urteile erstinstanzlicher Gerichte, mit denen das Verfahren ganz oder teilweise abgeschlossen worden ist (Art. 398 Abs. 1 StPO). Gemäss Art. 399 StPO meldet die Partei die Berufung dem erstinstanzlichen Gericht innert zehn Tagen seit der Eröffnung des Urteils schriftlich oder mündlich zu Protokoll an (Abs. 1) und reicht dem Berufungsgericht innert 20 Tagen seit der Zustellung des begründeten Urteils eine schriftliche Berufungserklärung ein (Abs. 3). Zur Ergreifung der Berufung ist jede Partei legitimiert, die ein rechtlich geschütztes Interesse an der Aufhebung oder Änderung eines Entscheides hat (Art. 382 Abs. 1 StPO).</w:t>
      </w:r>
    </w:p>
    <w:p>
      <w:r>
        <w:rPr>
          <w:b/>
        </w:rPr>
        <w:t>E. 1.1</w:t>
      </w:r>
    </w:p>
    <w:p>
      <w:r>
        <w:t>Der heute 66-jährige Beschuldigte wurde am tt.mm.1959 in K._____/ Türkei geboren. Er hat einen älteren Bruder. Im Alter von fünf Jahren zog er mit seiner Mutter und seinem Bruder in die Schweiz zum Vater, der sich bereits einige Monate zuvor für eine Arbeitstätigkeit hierzulande niedergelassen hatte. In L._____ besuchte er den Kindergarten sowie die Primar- und Sekundarschule. Anschliessend absolvierte er eine kaufmännische Lehre (act. 55 f., S167, Protokoll der kantonsgerichtlichen Hauptverhandlung vom 22. Oktober 2025 [fortan: Prot. KG] S. 3; Akten des Kantons Nidwalden [fortan: NWact.] 3.15). In der Folge war er als Kaufmann für verschiedene Firmen tätig. Im Jahr 1990 machte er sich als Lebensberater und Buchhalter selbständig und liess sich zum Versicherungsberater ausbilden (act. 55., S167, NWact. 3.16). Der Beschuldigte ist seit dem Jahr 1967 mit F._____ verheiratet. Aus der Ehe sind zwei Söhne, geb. 1990 und 1991, hervorgegangen (act. 55 f., S173, NWact. 3.16). Der jüngere Sohn wohnt noch zu Hause (vgl. act. S177, Prot. KG S. 4). Der Beschuldigte erhält eine AHV-Rente von Fr. 1'950.– pro Monat und erzielt aus seiner Tätigkeit als Lebensberater rund Fr. 2'500.– bis Fr. 3'500.– pro Monat. Er verfügt über kein nennenswertes Vermögen und erhebliche Schulden (Prot. KG S. 4; Steuererklärung 2023). Gemäss dem Betreibungsregisterauszug vom 10. Oktober 2025 bestehen 29 nicht getilgte Verlustscheine im Gesamtbetrag von rund Fr. 68'500.–.</w:t>
      </w:r>
    </w:p>
    <w:p>
      <w:r>
        <w:rPr>
          <w:b/>
        </w:rPr>
        <w:t>E. 1.2</w:t>
      </w:r>
    </w:p>
    <w:p>
      <w:r>
        <w:t>Der Werdegang und die persönlichen Verhältnisse des Beschuldigten wirken sich strafzumessungsneutral aus.</w:t>
      </w:r>
    </w:p>
    <w:p>
      <w:r>
        <w:rPr>
          <w:b/>
        </w:rPr>
        <w:t>E. 2</w:t>
      </w:r>
    </w:p>
    <w:p>
      <w:r>
        <w:t>Die Berufungserklärung des Beschuldigten vom 16. Dezember 2024 richtet sich ausschliesslich gegen die vom Strafgericht im Urteil vom 4. Juli 2024 vorgenommene Bemessung der Strafe (Dispositivziffer 1 Abs. 2 und 3). In der heutigen Berufungsverhandlung verlangt der Beschuldigte nunmehr auch eine Abänderung des vorgenannten Urteils im Schuldpunkt dahingehend, dass er statt wegen gewerbsmässigen Betrugs lediglich wegen mehrfachen Betrugs schuldig zu erklären sei. Die Erklärung, auf welche Teile sich die Berufung beschränkt, ist indes verbindlich (Art. 399 Abs. 4 StPO; statt vieler BGer 6B_1320/2020 vom 12. Januar 2022 E. 2.2 mit Verweisen; OGer ZH SB240411 vom 10. Februar 2025 E. I/2). Da die nicht angefochtenen Urteilspunkte in Teilrechtskraft erwachsen, ist eine nachträgliche Ausweitung der Berufung nicht mehr möglich ( Zimmerlin , Zürcher Kommentar StPO, 3. Aufl. 2020, Art. 399 N 14). Mangels Anfechtung des Schuldspruchs in der Berufungserklärung ist dieser bereits rechtskräftig, weshalb auf den Antrag um Abänderung des erstinstanzlichen Schuldspruchs nicht einzutreten ist.</w:t>
      </w:r>
    </w:p>
    <w:p>
      <w:r>
        <w:rPr>
          <w:b/>
        </w:rPr>
        <w:t>E. 2.1</w:t>
      </w:r>
    </w:p>
    <w:p>
      <w:r>
        <w:t>Der Beschuldigte hat in der Untersuchung und vor der Vorinstanz den Anklagevorwurf des gewerbsmässigen Betrugs bestritten. Durch die Nichtanfechtung des erstinstanzlichen Schuldspruchs hat er zwar nunmehr den Anklagevorwurf anerkannt, dies berechtigt ihn nach der dargestellten Rechtsprechung des Bundesgerichts jedoch nicht zu einer Strafreduktion. Im oberinstanzlichen Parteivortrag führte die Verteidigung aus, die Sicherheitshaft habe dem Beschuldigten zur Einsicht in sein Fehlverhalten verholfen und er bereue seine Taten. Im Schlusswort schloss sich der Beschuldigte den Ausführungen seiner Verteidigung pauschal an und erklärte er wolle alles wieder „geradebiegen", ohne dabei die von der Verteidigung geltend gemachte Reue in eigene Worte zu fassen und irgendeine erkennbare emotionale Beteiligung zu zeigen. Die Umstände deuten darauf hin, dass die angedeutete Einsicht und Reue bloss prozesstaktischer Natur sind und kein echtes Mitgefühl für die Opfer beinhalten. Unter dem Titel Einsicht und Reue kann dem Beschuldigten daher keine Strafmilderung gewährt werden.</w:t>
      </w:r>
    </w:p>
    <w:p>
      <w:r>
        <w:rPr>
          <w:b/>
        </w:rPr>
        <w:t>E. 2.2</w:t>
      </w:r>
    </w:p>
    <w:p>
      <w:r>
        <w:t>Die Verteidigung bringt im Parteivortrag anlässlich der zweitinstanzlichen Hauptverhandlung vor, der Beschuldigte wolle die ihm aus dem Bauprojekt in L._____ gegenüber N._____ zustehende Forderung in Höhe von bis zu Fr. 1'200'000.– zur Begleichung des Schadens der Geschädigten verwenden, was strafmindernd zu veranschlagen sei. Der Beschuldigte brachte das Grundstück Nr. 1 im Grundbuch L._____ mit Sacheinlagevertrag vom tt.mm.2012 in die M._____ AG ein und erhielt hierfür 400 Namenaktien der Gesellschaft (NWact. 5.62). Mit der am tt.mm.2013 zwischen dem Beschuldigten und N._____ abgeschlossenen Auflösungsvereinbarung betreffend die M._____ AG sowie die privaten Darlehensverträge übertrug der Beschuldigte sämtliche ihm noch gehörenden Namenaktien der M._____ AG an N._____. Ausserdem stellten der Beschuldigte und N._____ fest, dass als Saldo der finanziellen Verflechtungen eine Forderung von N._____ gegenüber dem Beschuldigten von Fr. 508'807.20 resultiere. Weiter erklärten sie, dass sie, abgesehen von der vorgenannten Forderung, per Saldo aller gegenseitigen Ansprüche auseinandergesetzt seien und keinerlei gegenseitige Forderungen mehr bestehen (act. 723 ff.). Demgemäss bestehen keine Anhaltspunkte, dass der Beschuldigte über eine Forderung gegenüber N._____ verfügt; im Gegenteil scheint er N._____ über eine halbe Millionen Franken zu schulden. Daher gibt es keinen Anlass zur Annahme, dass ein entsprechender Forderungsanspruch für eine künftige Schadenswiedergutmachung vorhanden ist. Ebenso wenig ist eine bereits erfolgte Schadenswiedergutmachung durch den Beschuldigten ersichtlich. Dieses Nachtatverhalten des Beschuldigten erstaunt insofern, als ihm seine aktuelle finanzielle Situation mit einem Nettoeinkommen von rund Fr. 4'450.– bis 5'450.– (AHV-Rente und Einkommen als Lebensberater) zumindest ermöglicht hätte, den Schaden in (kleinen) Raten zu ersetzen. Angesichts dessen kann der Beschuldigte unter dem Titel der Schadenswiedergutmachung keine Strafreduktion für sich reklamieren. (iii) Strafempfindlichkeit Gemäss der Rechtsprechung des Bundesgerichts ist eine erhöhte Strafempfindlichkeit nur bei aussergewöhnlichen Umständen zu bejahen, da die Verbüssung einer Freiheitsstrafe für jede arbeitstätige oder in ein familiäres Umfeld eingebettete Person mit einer gewissen Härte verbunden ist (BGer 6B_481/2024 vom 23. Oktober 2024 E. 2.4.2). Solche aussergewöhnlichen Umstände sind hier nicht gegeben. Die Strafempfindlichkeit ist daher als neutral zu beurteilen. (iv) Fazit zu den Täterkomponenten Unter Berücksichtigung der Täterkomponenten resultiert eine Freiheitsstrafe von 62 Monaten. d. Verletzung des Beschleunigungsgebots (i) Allgemeines (…) (ii) Konkrete Beurteilung 1. Der Beschuldigte wurde bei seiner Festnahme am 19. Februar 2020 durch die Polizei Basel-Landschaft über die Einleitung des Strafverfahrens unterrichtet (act. 1033 ff.). Zwischen diesem Zeitpunkt und der Anklageerhebung am 27. Juli 2023 vergingen rund drei Jahre und fünf Monate. Im vorliegenden Fall konnte sich die Staatsanwaltschaft nicht einfach auf die Bearbeitung der Strafanzeige von B._____ sel. und C._____ beschränken, sondern hatte vielmehr auch weitere potenziell Geschädigte zu ermitteln und den betreffenden Sachverhalt umfassend abzuklären. Ohne die eingestellten Verfahrensteile betraf die Untersuchung neun Geschädigte. Entsprechend musste eine Vielzahl von Sachverhaltskomplexen umfassend untersucht sowie Einvernahmen mit den Geschädigten und dem Beschuldigten durchgeführt werden. Die Staatsanwaltschaft musste am 21. September 2022 überdies ein internationales Rechtshilfeersuchen an die Türkei stellen und dessen Beantwortung abwarten, welche erst am 22. März 2023 eintraf. Vor dem Hintergrund des Ausgeführten kann die Dauer der Untersuchung nicht als unangemessen bezeichnet werden. Im Weiteren stand das Verfahren zu keiner Zeit über längere Dauer unbegründet still. Demnach kann im Vorverfahren keine Verletzung des Beschleunigungsgebots ausgemacht werden. 2. Nach Eingang der Anklageschrift am 27. Juli 2023 erliess das Strafgerichtspräsidium bereits am 22. August 2023 die Beweisverfügung, mit welcher es den Parteien eine peremptorische Frist bis zum 25. September 2023 zur Einreichung von Beweisanträgen setzte (act. S1 ff., S61 ff.). Die Parteien liessen diese Frist ungenutzt verstreichen (act. S79). Mit Schreiben vom 28. September 2023 reichte der Rechtsvertreter von C._____ eine Eingabe vom 25. September 2025 betreffend Beweisanträge nach. Mit Präsidialverfügung vom 2. Oktober 2023 wurde diese Eingabe der Staatsanwaltschaft und der Verteidigung zugestellt (act. S81 ff.). Nach Studium der rund 1'400 Seiten umfassenden Verfahrensakten und nach erfolgter Terminabsprache mit den Parteien lud die vorinstanzliche Verfahrensleitung am 17. April 2024 im Rahmen der ordentlichen Terminplanung des Strafgerichts die Parteien zur Hauptverhandlung auf den 2. Juli 2024 vor (act. S135). Am 4. Juli 2024 fällte die Vorinstanz ihr Urteil und eröffnete dieses mündlich (act. S237). Auch in Anbetracht der Tatsache, dass sich der Beschuldigte nach Erhebung der Anklage bis zur erstinstanzlichen Hauptverhandlung nicht in Haft befand, sowie unter Berücksichtigung des Umfangs und der Komplexität des zur Anklage gebrachten Geschehens lässt sich eine unzulässige Verzögerung des Verfahrens nicht feststellen. Eine Verletzung des Beschleunigungsgebots kann nämlich nicht allein aus der Dauer des Verfahrens abgeleitet werden und gewisse zeitliche Verzögerungen infolge organisatorischer Erfordernisse sind vor allem bei nicht inhaftierten Beschuldigten hinzunehmen. Mit Blick vor allem auf die vorliegend erforderliche Vorbereitungszeit (Aktenstudium, Planung der Hauptverhandlung und Vorbereitung) ist eine qualifizierte Untätigkeit bzw. ein nicht erklärbares Zuwarten der Vorinstanz nicht auszumachen, jedenfalls nicht eine derartige Verzögerung, welche die Feststellung einer Verletzung des Beschleunigungsgebots in Strafsachen rechtfertigen würde. Des Weiteren ist zwar festzuhalten, dass die Vorinstanz für die Ausfertigung der schriftlichen Urteilsbegründung rund fünf Monate benötigte und damit die in Art. 84 Abs. 4 StPO vorgesehene Begründungsfrist überschritten hat. Zu berücksichtigen ist jedoch, dass das angefochtene Urteil im Anschluss an die Berufungsverhandlung vom 4. Juli 2024 mündlich eröffnet wurde. Der Beschuldigte erhielt durch die mündliche Eröffnung des Urteils bereits Klarheit über Schuldspruch und Strafmass und blieb folglich bis zum Erhalt der schriftlichen Begründung nicht im Ungewissen. Diese nur leichte Verletzung der Begründungsfrist rechtfertigt (auch) nach der einschlägigen Rechtsprechung des Bundesgerichts weder eine Strafreduktion noch eine entsprechende Feststellung im Urteilsdispositiv. Insgesamt ist soweit ebenso wenig im erstinstanzlichen Verfahren eine Verletzung des Beschleunigungsgebots festzustellen.</w:t>
      </w:r>
    </w:p>
    <w:p>
      <w:r>
        <w:rPr>
          <w:b/>
        </w:rPr>
        <w:t>E. 3</w:t>
      </w:r>
    </w:p>
    <w:p>
      <w:r>
        <w:t>Nach dem Eingang der Berufungserklärung vom 16. Dezember 2024 setzte das Präsidium des Kantonsgerichts, Abteilung Strafrecht, der Staatsanwaltschaft und den Privatklägern eine Frist von 20 Tagen zur Einreichung eines begründeten Antrags auf Nichteintreten oder zur Erklärung einer Anschlussberufung an. Nach Studium der Akten des Untersuchungsverfahrens und erstinstanzlichen Gerichtsverfahrens sowie nach Terminabsprache mit den Parteien und erfolgter Vorladung fand am 22. Oktober 2025 die Berufungsverhandlung statt. An diesem Tag fällte das Kantonsgericht auch sein Urteil und eröffnete es den Parteien mündlich. Damit wurde die Frist gemäss Art. 408 Abs. 2 StPO, derzufolge das Berufungsgericht innert zwölf Monaten entscheidet, eingehalten. In Würdigung der Tatsache, dass mitunter kein Haftfall vorlag, ist die Dauer des oberinstanzlichen Verfahrens ebenso nicht als übermässig zu qualifizieren.</w:t>
      </w:r>
    </w:p>
    <w:p>
      <w:r>
        <w:rPr>
          <w:b/>
        </w:rPr>
        <w:t>E. 4</w:t>
      </w:r>
    </w:p>
    <w:p>
      <w:r>
        <w:t>Unter Berücksichtigung der vorstehenden Ausführungen ergibt eine Gesamtwürdigung, dass die Verfahrensdauer insgesamt nicht als übermässig anzusehen ist und keine krassen Zeitlücken infolge behördlicher Untätigkeit festzustellen sind. Eine Verletzung des Beschleunigungsgebots ist somit zu verneinen. e. Konkretes Strafmass Nach Berücksichtigung der Tat- und Täterkomponenten erachtet das Kantonsgericht eine Freiheitsstrafe von 62 Monaten bzw. fünf Jahren und zwei Monaten als dem Verschulden des Beschuldigten angemessen. BC. Zusatzstrafe zum Urteil des Kantonsgerichts Nidwalden vom 16. November 2018 Das Kantonsgericht Nidwalden verurteilte den Beschuldigten mit Urteil vom 16. November 2018 wegen mehrfachen Betrugs zu einer bedingten Freiheitsstrafe von 22 Monaten unter Ansetzung einer Probezeit von fünf Jahren. Diese Strafe ist zum zuvor festgesetzten Strafanteil des vorliegenden Verfahrens von fünf Jahren und zwei Monaten Freiheitsstrafe zu asperieren. In Anbetracht dessen, dass die Grundstrafe für den mehrfachen Betrug in Anwendung von Art. 49 Abs. 1 StGB bereits asperiert wurde, erscheint es angezeigt, unter nunmehr gemässigter Anwendung des Asperationsprinzips die Einsatzstrafe im Umfang von zehn Monaten Freiheitsstrafe zu erhöhen. Damit resultiert eine hypothetische Gesamtfreiheitsstrafe von sechs Jahren. Nach Abzug der Grundstrafe (22 Monate) beträgt die Zusatzstrafe zum Urteil des Kantonsgerichts Nidwalden vom 16. November 2018 vier Jahre und zwei Monate Freiheitsstrafe. BD. Vollzug Die Freiheitsstrafe ist unbedingt auszusprechen, da aufgrund der Höhe des Strafmasses ein bedingter oder teilbedingter Vollzug objektiv ausgeschlossen ist (Art. 42 ff. StGB e contrario). BE. Gesamtergebnis / Verbot der reformatio in peius / Anrechnung der ausgestandenen Haft Der Beschuldigte wäre in Würdigung sämtlicher Umstände zu einer Freiheitsstrafe von vier Jahren und zwei Monaten als Zusatzstrafe zum Urteil des Kantonsgerichts Nidwalden vom 16. November 2018 zu verurteilen. Aufgrund des Verbots der reformatio in peius gemäss Art. 391 Abs. 2 StPO ist die Strafe indes bei der vorinstanzlich verhängten Freiheitsstrafe von drei Jahren und neun Monaten als Zusatzstrafe zum Urteil des Kantonsgerichts Nidwalden vom 16. November 2018 zu belassen. An diese Strafe ist gemäss Art. 51 StGB die bereits ausgestandene Haft von insgesamt 34 Tagen (vorläufige Festnahme vom 19. Februar 2020 von einem Tag und Sicherheitshaft vom 4. Juli 2024 bis 6. August 2024 von 33 Tagen) anzurechnen. III. Kosten und Entschädigung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